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CC2E3" w14:textId="49B7D46C" w:rsidR="00273300" w:rsidRPr="00EC380C" w:rsidRDefault="00B70A93" w:rsidP="00EC380C">
      <w:pPr>
        <w:spacing w:line="240" w:lineRule="auto"/>
        <w:jc w:val="center"/>
        <w:rPr>
          <w:rFonts w:ascii="Times New Roman" w:hAnsi="Times New Roman" w:cs="Times New Roman"/>
          <w:b/>
          <w:bCs/>
        </w:rPr>
      </w:pPr>
      <w:r w:rsidRPr="00EC380C">
        <w:rPr>
          <w:rFonts w:ascii="Times New Roman" w:hAnsi="Times New Roman" w:cs="Times New Roman"/>
          <w:b/>
          <w:bCs/>
        </w:rPr>
        <w:t>ECO 201 Milestone Three</w:t>
      </w:r>
    </w:p>
    <w:p w14:paraId="2C5D0821" w14:textId="220D49A8" w:rsidR="00B70A93" w:rsidRPr="00BF6D8A" w:rsidRDefault="00B70A93" w:rsidP="00BF6D8A">
      <w:pPr>
        <w:spacing w:line="240" w:lineRule="auto"/>
        <w:rPr>
          <w:rFonts w:ascii="Times New Roman" w:hAnsi="Times New Roman" w:cs="Times New Roman"/>
          <w:b/>
          <w:bCs/>
        </w:rPr>
      </w:pPr>
      <w:r w:rsidRPr="00BF6D8A">
        <w:rPr>
          <w:rFonts w:ascii="Times New Roman" w:hAnsi="Times New Roman" w:cs="Times New Roman"/>
          <w:b/>
          <w:bCs/>
        </w:rPr>
        <w:t>Section Four: Coca-Coal’s Costs of Production</w:t>
      </w:r>
    </w:p>
    <w:p w14:paraId="72CF83C6" w14:textId="62320132" w:rsidR="00B70A93" w:rsidRPr="00BF6D8A" w:rsidRDefault="00B70A93" w:rsidP="00BF6D8A">
      <w:pPr>
        <w:pStyle w:val="ListParagraph"/>
        <w:numPr>
          <w:ilvl w:val="0"/>
          <w:numId w:val="1"/>
        </w:numPr>
        <w:spacing w:line="240" w:lineRule="auto"/>
        <w:rPr>
          <w:rFonts w:ascii="Times New Roman" w:hAnsi="Times New Roman" w:cs="Times New Roman"/>
          <w:b/>
          <w:bCs/>
        </w:rPr>
      </w:pPr>
      <w:r w:rsidRPr="00BF6D8A">
        <w:rPr>
          <w:rFonts w:ascii="Times New Roman" w:hAnsi="Times New Roman" w:cs="Times New Roman"/>
          <w:b/>
          <w:bCs/>
        </w:rPr>
        <w:t>Various Costs, Trends, and how they affect Coca-Cola’s Productivity</w:t>
      </w:r>
    </w:p>
    <w:p w14:paraId="3364C078" w14:textId="157AA6F7" w:rsidR="00B70A93" w:rsidRPr="00BF6D8A" w:rsidRDefault="00B70A93" w:rsidP="00EC380C">
      <w:pPr>
        <w:spacing w:line="240" w:lineRule="auto"/>
        <w:jc w:val="both"/>
        <w:rPr>
          <w:rFonts w:ascii="Times New Roman" w:hAnsi="Times New Roman" w:cs="Times New Roman"/>
        </w:rPr>
      </w:pPr>
      <w:r w:rsidRPr="00BF6D8A">
        <w:rPr>
          <w:rFonts w:ascii="Times New Roman" w:hAnsi="Times New Roman" w:cs="Times New Roman"/>
        </w:rPr>
        <w:t xml:space="preserve">According to a report by Coca-Cola (2017), FY-2016 experienced a total of $16,465,000,000 cost of goods sold (COGS), representing a 13% decline of COGS since FY-2012. Such a decrease was because of the firm’s price negotiations with the suppliers as well as sell </w:t>
      </w:r>
      <w:r w:rsidR="007B14BC" w:rsidRPr="00BF6D8A">
        <w:rPr>
          <w:rFonts w:ascii="Times New Roman" w:hAnsi="Times New Roman" w:cs="Times New Roman"/>
        </w:rPr>
        <w:t xml:space="preserve">of bottling facilities. Both the company’s COGS &amp; gross revenue have been experiencing steady declines as </w:t>
      </w:r>
      <w:r w:rsidR="00FB7F5D" w:rsidRPr="00BF6D8A">
        <w:rPr>
          <w:rFonts w:ascii="Times New Roman" w:hAnsi="Times New Roman" w:cs="Times New Roman"/>
          <w:i/>
          <w:iCs/>
        </w:rPr>
        <w:t>figure 5</w:t>
      </w:r>
      <w:r w:rsidR="007B14BC" w:rsidRPr="00BF6D8A">
        <w:rPr>
          <w:rFonts w:ascii="Times New Roman" w:hAnsi="Times New Roman" w:cs="Times New Roman"/>
        </w:rPr>
        <w:t xml:space="preserve"> shows below. Given that the COGS had been rapidly decreasing relative to the revenues, there is an improvement with the profit margin. This COGS’ decrease could have positively affected the profitability if Coca-Cola was to increase its prices or sell more of their products to generate more profits. Numerous inputs exist in regards to the firm’s production costs, with these costs being both variable and fixed. Some significant fixed costs are lease or rent for the factories, executive employees’ salaries, and production machines’ insurance, among others. On the other hand, however, some of the significant variable costs involve utilities, labor wages, and raw materials, among others. The fact that Coca-Cola is highly dependent on suppliers for its raw materials highly affects productivity because such raw materials are exposed to market price fluctuations and this makes the production costs rise with an increase of the raw materials’ price. </w:t>
      </w:r>
    </w:p>
    <w:p w14:paraId="7FCA747A" w14:textId="557D85EC" w:rsidR="00FB7F5D" w:rsidRPr="00BF6D8A" w:rsidRDefault="00FB7F5D" w:rsidP="00EC380C">
      <w:pPr>
        <w:spacing w:line="240" w:lineRule="auto"/>
        <w:jc w:val="both"/>
        <w:rPr>
          <w:rFonts w:ascii="Times New Roman" w:hAnsi="Times New Roman" w:cs="Times New Roman"/>
          <w:b/>
          <w:bCs/>
          <w:i/>
          <w:iCs/>
          <w:u w:val="single"/>
        </w:rPr>
      </w:pPr>
      <w:r w:rsidRPr="00BF6D8A">
        <w:rPr>
          <w:rFonts w:ascii="Times New Roman" w:hAnsi="Times New Roman" w:cs="Times New Roman"/>
          <w:b/>
          <w:bCs/>
          <w:i/>
          <w:iCs/>
          <w:u w:val="single"/>
        </w:rPr>
        <w:t>Figure 5: Coca-Cola’s COGS &amp; Gross Profit</w:t>
      </w:r>
    </w:p>
    <w:p w14:paraId="4B879ADB" w14:textId="5E868C1B" w:rsidR="00FB7F5D" w:rsidRDefault="00FB7F5D" w:rsidP="00EC380C">
      <w:pPr>
        <w:spacing w:line="240" w:lineRule="auto"/>
        <w:jc w:val="both"/>
        <w:rPr>
          <w:rFonts w:ascii="Times New Roman" w:hAnsi="Times New Roman" w:cs="Times New Roman"/>
        </w:rPr>
      </w:pPr>
      <w:r w:rsidRPr="00BF6D8A">
        <w:rPr>
          <w:rFonts w:ascii="Times New Roman" w:hAnsi="Times New Roman" w:cs="Times New Roman"/>
          <w:noProof/>
        </w:rPr>
        <w:drawing>
          <wp:inline distT="0" distB="0" distL="0" distR="0" wp14:anchorId="4A2390C2" wp14:editId="517533B3">
            <wp:extent cx="4152900" cy="2072640"/>
            <wp:effectExtent l="0" t="0" r="0" b="3810"/>
            <wp:docPr id="4" name="Chart 4">
              <a:extLst xmlns:a="http://schemas.openxmlformats.org/drawingml/2006/main">
                <a:ext uri="{FF2B5EF4-FFF2-40B4-BE49-F238E27FC236}">
                  <a16:creationId xmlns:a16="http://schemas.microsoft.com/office/drawing/2014/main" id="{02D012B4-64A2-448A-BE43-18F37F4A7B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3580E33" w14:textId="77777777" w:rsidR="006F0BA0" w:rsidRPr="009E5BE7" w:rsidRDefault="006F0BA0" w:rsidP="00EC380C">
      <w:pPr>
        <w:spacing w:line="360" w:lineRule="auto"/>
        <w:jc w:val="both"/>
        <w:rPr>
          <w:rFonts w:ascii="Times New Roman" w:hAnsi="Times New Roman" w:cs="Times New Roman"/>
          <w:i/>
          <w:sz w:val="24"/>
          <w:szCs w:val="24"/>
        </w:rPr>
      </w:pPr>
      <w:r w:rsidRPr="009E5BE7">
        <w:rPr>
          <w:rFonts w:ascii="Times New Roman" w:hAnsi="Times New Roman" w:cs="Times New Roman"/>
          <w:i/>
          <w:sz w:val="24"/>
          <w:szCs w:val="24"/>
        </w:rPr>
        <w:t xml:space="preserve">Source: </w:t>
      </w:r>
      <w:hyperlink r:id="rId6" w:history="1">
        <w:r w:rsidRPr="009E5BE7">
          <w:rPr>
            <w:rStyle w:val="Hyperlink"/>
            <w:rFonts w:ascii="Times New Roman" w:hAnsi="Times New Roman" w:cs="Times New Roman"/>
            <w:i/>
            <w:sz w:val="24"/>
            <w:szCs w:val="24"/>
          </w:rPr>
          <w:t>http://www.coca-colacompany.com/investors/annual-other-reports</w:t>
        </w:r>
      </w:hyperlink>
    </w:p>
    <w:p w14:paraId="6AB9C218" w14:textId="77777777" w:rsidR="006F0BA0" w:rsidRPr="00BF6D8A" w:rsidRDefault="006F0BA0" w:rsidP="00EC380C">
      <w:pPr>
        <w:spacing w:line="240" w:lineRule="auto"/>
        <w:jc w:val="both"/>
        <w:rPr>
          <w:rFonts w:ascii="Times New Roman" w:hAnsi="Times New Roman" w:cs="Times New Roman"/>
        </w:rPr>
      </w:pPr>
    </w:p>
    <w:p w14:paraId="790A6A64" w14:textId="3F9D5A72" w:rsidR="00FB7F5D" w:rsidRPr="00BF6D8A" w:rsidRDefault="00FB7F5D" w:rsidP="00EC380C">
      <w:pPr>
        <w:pStyle w:val="ListParagraph"/>
        <w:numPr>
          <w:ilvl w:val="0"/>
          <w:numId w:val="1"/>
        </w:numPr>
        <w:spacing w:line="240" w:lineRule="auto"/>
        <w:jc w:val="both"/>
        <w:rPr>
          <w:rFonts w:ascii="Times New Roman" w:hAnsi="Times New Roman" w:cs="Times New Roman"/>
          <w:b/>
          <w:bCs/>
        </w:rPr>
      </w:pPr>
      <w:r w:rsidRPr="00BF6D8A">
        <w:rPr>
          <w:rFonts w:ascii="Times New Roman" w:hAnsi="Times New Roman" w:cs="Times New Roman"/>
          <w:b/>
          <w:bCs/>
        </w:rPr>
        <w:t>Cost Concepts to Coca-Cola’s Output Decisions</w:t>
      </w:r>
    </w:p>
    <w:p w14:paraId="12A3A467" w14:textId="678D964E" w:rsidR="00FB7F5D" w:rsidRPr="00BF6D8A" w:rsidRDefault="00FB7F5D" w:rsidP="00EC380C">
      <w:pPr>
        <w:spacing w:line="240" w:lineRule="auto"/>
        <w:jc w:val="both"/>
        <w:rPr>
          <w:rFonts w:ascii="Times New Roman" w:hAnsi="Times New Roman" w:cs="Times New Roman"/>
        </w:rPr>
      </w:pPr>
      <w:r w:rsidRPr="00BF6D8A">
        <w:rPr>
          <w:rFonts w:ascii="Times New Roman" w:hAnsi="Times New Roman" w:cs="Times New Roman"/>
        </w:rPr>
        <w:t>Numerous raw materials for producing Coca-Cola’s products exists, with water being the major ingredient in almost of the goods. In the US, Coca-Cola’s primary nutritive sweetener is a high-level fructose corn syrup</w:t>
      </w:r>
      <w:r w:rsidR="00890ED8" w:rsidRPr="00BF6D8A">
        <w:rPr>
          <w:rFonts w:ascii="Times New Roman" w:hAnsi="Times New Roman" w:cs="Times New Roman"/>
        </w:rPr>
        <w:t xml:space="preserve"> </w:t>
      </w:r>
      <w:r w:rsidR="00890ED8" w:rsidRPr="00BF6D8A">
        <w:rPr>
          <w:rFonts w:ascii="Times New Roman" w:hAnsi="Times New Roman" w:cs="Times New Roman"/>
        </w:rPr>
        <w:t>(Coca-Cola, 2017)</w:t>
      </w:r>
      <w:r w:rsidR="00890ED8" w:rsidRPr="00BF6D8A">
        <w:rPr>
          <w:rFonts w:ascii="Times New Roman" w:hAnsi="Times New Roman" w:cs="Times New Roman"/>
        </w:rPr>
        <w:t xml:space="preserve">. </w:t>
      </w:r>
      <w:r w:rsidRPr="00BF6D8A">
        <w:rPr>
          <w:rFonts w:ascii="Times New Roman" w:hAnsi="Times New Roman" w:cs="Times New Roman"/>
        </w:rPr>
        <w:t xml:space="preserve"> On the contrary, the firm uses sucrose (table sugar) outside the US. </w:t>
      </w:r>
      <w:r w:rsidR="00890ED8" w:rsidRPr="00BF6D8A">
        <w:rPr>
          <w:rFonts w:ascii="Times New Roman" w:hAnsi="Times New Roman" w:cs="Times New Roman"/>
        </w:rPr>
        <w:t xml:space="preserve">Acesulfame potassium, aspartame, saccharin, steviol glycoside, sucralose, and cyclamate feature some of the firm’s non-nutritive sweeteners. However, such ingredients can be readily acquired from many sources. Notably, sucralose has been seeing an increased global demand and this is why Coca-Cola had been coordinating with the existing suppliers to acquiring more volumes while the firm expands its sucralose supplier scope </w:t>
      </w:r>
      <w:r w:rsidR="00890ED8" w:rsidRPr="00BF6D8A">
        <w:rPr>
          <w:rFonts w:ascii="Times New Roman" w:hAnsi="Times New Roman" w:cs="Times New Roman"/>
        </w:rPr>
        <w:t>(Coca-Cola, 2017)</w:t>
      </w:r>
      <w:r w:rsidR="00890ED8" w:rsidRPr="00BF6D8A">
        <w:rPr>
          <w:rFonts w:ascii="Times New Roman" w:hAnsi="Times New Roman" w:cs="Times New Roman"/>
        </w:rPr>
        <w:t xml:space="preserve">. Again, the firm had been assessing more international contingency strategies to addressing any possible shortages that could emerge in the future. </w:t>
      </w:r>
    </w:p>
    <w:p w14:paraId="3DCC0B53" w14:textId="4F6BEFED" w:rsidR="00890ED8" w:rsidRPr="00BF6D8A" w:rsidRDefault="00890ED8" w:rsidP="00EC380C">
      <w:pPr>
        <w:spacing w:line="240" w:lineRule="auto"/>
        <w:jc w:val="both"/>
        <w:rPr>
          <w:rFonts w:ascii="Times New Roman" w:hAnsi="Times New Roman" w:cs="Times New Roman"/>
        </w:rPr>
      </w:pPr>
      <w:r w:rsidRPr="00BF6D8A">
        <w:rPr>
          <w:rFonts w:ascii="Times New Roman" w:hAnsi="Times New Roman" w:cs="Times New Roman"/>
        </w:rPr>
        <w:t xml:space="preserve">Concomitantly, Coca-Cola had been closely working with its concentrated juice suppliers to ensuring that there is sufficient supply to meet the firm’s standards. The citrus industry is currently affected by the </w:t>
      </w:r>
      <w:r w:rsidRPr="00BF6D8A">
        <w:rPr>
          <w:rFonts w:ascii="Times New Roman" w:hAnsi="Times New Roman" w:cs="Times New Roman"/>
        </w:rPr>
        <w:lastRenderedPageBreak/>
        <w:t xml:space="preserve">greening disease problem as well as weather conditions’ variability </w:t>
      </w:r>
      <w:r w:rsidRPr="00BF6D8A">
        <w:rPr>
          <w:rFonts w:ascii="Times New Roman" w:hAnsi="Times New Roman" w:cs="Times New Roman"/>
        </w:rPr>
        <w:t>(Coca-Cola, 2017)</w:t>
      </w:r>
      <w:r w:rsidRPr="00BF6D8A">
        <w:rPr>
          <w:rFonts w:ascii="Times New Roman" w:hAnsi="Times New Roman" w:cs="Times New Roman"/>
        </w:rPr>
        <w:t xml:space="preserve">. Therefore, trees have decreased with increased costs of growing. Other significant raw materials involve </w:t>
      </w:r>
      <w:r w:rsidRPr="00BF6D8A">
        <w:rPr>
          <w:rFonts w:ascii="Times New Roman" w:hAnsi="Times New Roman" w:cs="Times New Roman"/>
        </w:rPr>
        <w:t>terephthalate resin</w:t>
      </w:r>
      <w:r w:rsidRPr="00BF6D8A">
        <w:rPr>
          <w:rFonts w:ascii="Times New Roman" w:hAnsi="Times New Roman" w:cs="Times New Roman"/>
        </w:rPr>
        <w:t xml:space="preserve">, </w:t>
      </w:r>
      <w:r w:rsidRPr="00BF6D8A">
        <w:rPr>
          <w:rFonts w:ascii="Times New Roman" w:hAnsi="Times New Roman" w:cs="Times New Roman"/>
        </w:rPr>
        <w:t>polyethylene</w:t>
      </w:r>
      <w:r w:rsidRPr="00BF6D8A">
        <w:rPr>
          <w:rFonts w:ascii="Times New Roman" w:hAnsi="Times New Roman" w:cs="Times New Roman"/>
        </w:rPr>
        <w:t xml:space="preserve">, </w:t>
      </w:r>
      <w:r w:rsidR="0082186E" w:rsidRPr="00BF6D8A">
        <w:rPr>
          <w:rFonts w:ascii="Times New Roman" w:hAnsi="Times New Roman" w:cs="Times New Roman"/>
        </w:rPr>
        <w:t xml:space="preserve">aluminum and glass bottles, steel and aluminum cans, </w:t>
      </w:r>
      <w:r w:rsidR="0082186E" w:rsidRPr="00BF6D8A">
        <w:rPr>
          <w:rFonts w:ascii="Times New Roman" w:hAnsi="Times New Roman" w:cs="Times New Roman"/>
        </w:rPr>
        <w:t>aseptic fiber packaging</w:t>
      </w:r>
      <w:r w:rsidR="0082186E" w:rsidRPr="00BF6D8A">
        <w:rPr>
          <w:rFonts w:ascii="Times New Roman" w:hAnsi="Times New Roman" w:cs="Times New Roman"/>
        </w:rPr>
        <w:t xml:space="preserve">, plastic closures, cartons, post-mix packaging, carbon-dioxide, and cases (Coca-Cola, 2017). Despite the fact that most of such raw materials are exposed to market price fluctuations, Coca-Cola had been reaching to common pricing agreements with most of the firm’s suppliers. Therefore, the output level could decrease if labor costs would have increased. Generally, the firm had been cutting costs by reducing jobs and selling part of its factories and bottling activities, and this cost cutting strategy had helped Coca-Cola in increasing its output level. </w:t>
      </w:r>
    </w:p>
    <w:p w14:paraId="7AE041A4" w14:textId="0DDE47BC" w:rsidR="0082186E" w:rsidRPr="00BF6D8A" w:rsidRDefault="0082186E" w:rsidP="00EC380C">
      <w:pPr>
        <w:spacing w:line="240" w:lineRule="auto"/>
        <w:jc w:val="both"/>
        <w:rPr>
          <w:rFonts w:ascii="Times New Roman" w:hAnsi="Times New Roman" w:cs="Times New Roman"/>
          <w:b/>
          <w:bCs/>
        </w:rPr>
      </w:pPr>
      <w:r w:rsidRPr="00BF6D8A">
        <w:rPr>
          <w:rFonts w:ascii="Times New Roman" w:hAnsi="Times New Roman" w:cs="Times New Roman"/>
          <w:b/>
          <w:bCs/>
        </w:rPr>
        <w:t>Section Five: Coca-Cola’s Overall Market</w:t>
      </w:r>
    </w:p>
    <w:p w14:paraId="23729FE9" w14:textId="76B2C1E9" w:rsidR="0082186E" w:rsidRPr="00BF6D8A" w:rsidRDefault="0082186E" w:rsidP="00EC380C">
      <w:pPr>
        <w:pStyle w:val="ListParagraph"/>
        <w:numPr>
          <w:ilvl w:val="0"/>
          <w:numId w:val="2"/>
        </w:numPr>
        <w:spacing w:line="240" w:lineRule="auto"/>
        <w:jc w:val="both"/>
        <w:rPr>
          <w:rFonts w:ascii="Times New Roman" w:hAnsi="Times New Roman" w:cs="Times New Roman"/>
          <w:b/>
          <w:bCs/>
        </w:rPr>
      </w:pPr>
      <w:r w:rsidRPr="00BF6D8A">
        <w:rPr>
          <w:rFonts w:ascii="Times New Roman" w:hAnsi="Times New Roman" w:cs="Times New Roman"/>
          <w:b/>
          <w:bCs/>
        </w:rPr>
        <w:t>Coca-Cola’s Market Share</w:t>
      </w:r>
    </w:p>
    <w:p w14:paraId="42C5FC3C" w14:textId="129ABF5A" w:rsidR="0082186E" w:rsidRPr="00BF6D8A" w:rsidRDefault="0082186E" w:rsidP="00EC380C">
      <w:pPr>
        <w:spacing w:line="240" w:lineRule="auto"/>
        <w:jc w:val="both"/>
        <w:rPr>
          <w:rFonts w:ascii="Times New Roman" w:hAnsi="Times New Roman" w:cs="Times New Roman"/>
        </w:rPr>
      </w:pPr>
      <w:r w:rsidRPr="00BF6D8A">
        <w:rPr>
          <w:rFonts w:ascii="Times New Roman" w:hAnsi="Times New Roman" w:cs="Times New Roman"/>
          <w:i/>
          <w:iCs/>
        </w:rPr>
        <w:t>Figure 6</w:t>
      </w:r>
      <w:r w:rsidRPr="00BF6D8A">
        <w:rPr>
          <w:rFonts w:ascii="Times New Roman" w:hAnsi="Times New Roman" w:cs="Times New Roman"/>
        </w:rPr>
        <w:t xml:space="preserve"> below represents </w:t>
      </w:r>
      <w:r w:rsidR="00807F41" w:rsidRPr="00BF6D8A">
        <w:rPr>
          <w:rFonts w:ascii="Times New Roman" w:hAnsi="Times New Roman" w:cs="Times New Roman"/>
        </w:rPr>
        <w:t xml:space="preserve">the soft drinks’ market shares from FY-2004 to FY-2015 in volume sales. In FY-2015, Coca-Cola had a market share of 42.5%, with Pepsi and Dr. Pepper Snapple Group recording 27% and 17.3%, respectively </w:t>
      </w:r>
      <w:r w:rsidR="00807F41" w:rsidRPr="00BF6D8A">
        <w:rPr>
          <w:rFonts w:ascii="Times New Roman" w:hAnsi="Times New Roman" w:cs="Times New Roman"/>
        </w:rPr>
        <w:t>(Statista, 2017).</w:t>
      </w:r>
      <w:r w:rsidR="00807F41" w:rsidRPr="00BF6D8A">
        <w:rPr>
          <w:rFonts w:ascii="Times New Roman" w:hAnsi="Times New Roman" w:cs="Times New Roman"/>
        </w:rPr>
        <w:t xml:space="preserve"> On other grounds, there is a 90.8% concentration ratio for the four companies competing with Coca-Cola. This rate shows that there hasn’t been a significant difference among the four major competitors, except for Dr. Pepper Snapple Group. As a result, the firms had experienced a little shift in their shares across time, but Coca-Cola still rules both the local and global non-alcoholic beverage markets.</w:t>
      </w:r>
    </w:p>
    <w:p w14:paraId="55AB9D36" w14:textId="1764DD1F" w:rsidR="00ED24AC" w:rsidRPr="00BF6D8A" w:rsidRDefault="00ED24AC" w:rsidP="00EC380C">
      <w:pPr>
        <w:spacing w:line="240" w:lineRule="auto"/>
        <w:jc w:val="both"/>
        <w:rPr>
          <w:rFonts w:ascii="Times New Roman" w:hAnsi="Times New Roman" w:cs="Times New Roman"/>
          <w:b/>
          <w:bCs/>
          <w:i/>
          <w:iCs/>
          <w:u w:val="single"/>
        </w:rPr>
      </w:pPr>
      <w:r w:rsidRPr="00BF6D8A">
        <w:rPr>
          <w:rFonts w:ascii="Times New Roman" w:hAnsi="Times New Roman" w:cs="Times New Roman"/>
          <w:b/>
          <w:bCs/>
          <w:i/>
          <w:iCs/>
          <w:u w:val="single"/>
        </w:rPr>
        <w:t>Figure 6: The Soft Drink Market Share</w:t>
      </w:r>
    </w:p>
    <w:p w14:paraId="13839B99" w14:textId="0425A6A1" w:rsidR="00ED24AC" w:rsidRDefault="00ED24AC" w:rsidP="00EC380C">
      <w:pPr>
        <w:spacing w:line="240" w:lineRule="auto"/>
        <w:jc w:val="both"/>
        <w:rPr>
          <w:rFonts w:ascii="Times New Roman" w:hAnsi="Times New Roman" w:cs="Times New Roman"/>
          <w:b/>
          <w:bCs/>
          <w:i/>
          <w:iCs/>
          <w:u w:val="single"/>
        </w:rPr>
      </w:pPr>
      <w:r w:rsidRPr="00BF6D8A">
        <w:rPr>
          <w:noProof/>
        </w:rPr>
        <w:drawing>
          <wp:inline distT="0" distB="0" distL="0" distR="0" wp14:anchorId="2A4E7919" wp14:editId="1F886A7B">
            <wp:extent cx="4572000" cy="2743200"/>
            <wp:effectExtent l="0" t="0" r="0" b="0"/>
            <wp:docPr id="10" name="Chart 10">
              <a:extLst xmlns:a="http://schemas.openxmlformats.org/drawingml/2006/main">
                <a:ext uri="{FF2B5EF4-FFF2-40B4-BE49-F238E27FC236}">
                  <a16:creationId xmlns:a16="http://schemas.microsoft.com/office/drawing/2014/main" id="{A63431C6-37BA-4BD6-A7FC-1D7ED5C627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435E718" w14:textId="14BDD3B9" w:rsidR="006F0BA0" w:rsidRPr="009E5BE7" w:rsidRDefault="006F0BA0" w:rsidP="00EC380C">
      <w:pPr>
        <w:spacing w:line="360" w:lineRule="auto"/>
        <w:jc w:val="both"/>
        <w:rPr>
          <w:rFonts w:ascii="Times New Roman" w:hAnsi="Times New Roman" w:cs="Times New Roman"/>
          <w:i/>
          <w:sz w:val="24"/>
          <w:szCs w:val="24"/>
        </w:rPr>
      </w:pPr>
      <w:r w:rsidRPr="009E5BE7">
        <w:rPr>
          <w:rFonts w:ascii="Times New Roman" w:hAnsi="Times New Roman" w:cs="Times New Roman"/>
          <w:i/>
          <w:sz w:val="24"/>
          <w:szCs w:val="24"/>
        </w:rPr>
        <w:t>Source:</w:t>
      </w:r>
      <w:hyperlink r:id="rId8" w:history="1">
        <w:r w:rsidRPr="00563599">
          <w:rPr>
            <w:rStyle w:val="Hyperlink"/>
            <w:rFonts w:ascii="Times New Roman" w:eastAsia="Times New Roman" w:hAnsi="Times New Roman" w:cs="Times New Roman"/>
            <w:kern w:val="36"/>
            <w:sz w:val="24"/>
            <w:szCs w:val="24"/>
          </w:rPr>
          <w:t>https://www.statista.com/statistics/225464/market-share-of-leading-soft-drink-companies-in-the-us-since-2004/</w:t>
        </w:r>
      </w:hyperlink>
    </w:p>
    <w:p w14:paraId="337615FA" w14:textId="77777777" w:rsidR="006F0BA0" w:rsidRPr="00BF6D8A" w:rsidRDefault="006F0BA0" w:rsidP="00EC380C">
      <w:pPr>
        <w:spacing w:line="240" w:lineRule="auto"/>
        <w:jc w:val="both"/>
        <w:rPr>
          <w:rFonts w:ascii="Times New Roman" w:hAnsi="Times New Roman" w:cs="Times New Roman"/>
          <w:b/>
          <w:bCs/>
          <w:i/>
          <w:iCs/>
          <w:u w:val="single"/>
        </w:rPr>
      </w:pPr>
    </w:p>
    <w:p w14:paraId="5F7FC91E" w14:textId="585CED20" w:rsidR="00807F41" w:rsidRPr="00BF6D8A" w:rsidRDefault="00807F41" w:rsidP="00EC380C">
      <w:pPr>
        <w:pStyle w:val="ListParagraph"/>
        <w:numPr>
          <w:ilvl w:val="0"/>
          <w:numId w:val="2"/>
        </w:numPr>
        <w:spacing w:line="240" w:lineRule="auto"/>
        <w:jc w:val="both"/>
        <w:rPr>
          <w:rFonts w:ascii="Times New Roman" w:hAnsi="Times New Roman" w:cs="Times New Roman"/>
          <w:b/>
          <w:bCs/>
        </w:rPr>
      </w:pPr>
      <w:r w:rsidRPr="00BF6D8A">
        <w:rPr>
          <w:rFonts w:ascii="Times New Roman" w:hAnsi="Times New Roman" w:cs="Times New Roman"/>
          <w:b/>
          <w:bCs/>
        </w:rPr>
        <w:t>Industry’s Barriers to Entry</w:t>
      </w:r>
    </w:p>
    <w:p w14:paraId="42A97850" w14:textId="6C05AF64" w:rsidR="00B70A93" w:rsidRPr="00BF6D8A" w:rsidRDefault="00807F41" w:rsidP="00EC380C">
      <w:pPr>
        <w:spacing w:line="240" w:lineRule="auto"/>
        <w:jc w:val="both"/>
        <w:rPr>
          <w:rFonts w:ascii="Times New Roman" w:hAnsi="Times New Roman" w:cs="Times New Roman"/>
        </w:rPr>
      </w:pPr>
      <w:r w:rsidRPr="00BF6D8A">
        <w:rPr>
          <w:rFonts w:ascii="Times New Roman" w:hAnsi="Times New Roman" w:cs="Times New Roman"/>
        </w:rPr>
        <w:t xml:space="preserve">Research shows that the non-alcoholic beverage market has high barriers to entry based on both start-up capital &amp; experience. Economies of scale appear to be among the most critical barriers to entry since it had been existing whenever the long-term average costs of a firm </w:t>
      </w:r>
      <w:r w:rsidR="00416EFA" w:rsidRPr="00BF6D8A">
        <w:rPr>
          <w:rFonts w:ascii="Times New Roman" w:hAnsi="Times New Roman" w:cs="Times New Roman"/>
        </w:rPr>
        <w:t>decrease</w:t>
      </w:r>
      <w:r w:rsidRPr="00BF6D8A">
        <w:rPr>
          <w:rFonts w:ascii="Times New Roman" w:hAnsi="Times New Roman" w:cs="Times New Roman"/>
        </w:rPr>
        <w:t xml:space="preserve"> </w:t>
      </w:r>
      <w:r w:rsidR="00416EFA" w:rsidRPr="00BF6D8A">
        <w:rPr>
          <w:rFonts w:ascii="Times New Roman" w:hAnsi="Times New Roman" w:cs="Times New Roman"/>
        </w:rPr>
        <w:t xml:space="preserve">as the output increases, like in the case with Coca-Cola. Key input’s ownership or possession is the next significant entry barrier. Given the </w:t>
      </w:r>
      <w:r w:rsidR="00416EFA" w:rsidRPr="00BF6D8A">
        <w:rPr>
          <w:rFonts w:ascii="Times New Roman" w:hAnsi="Times New Roman" w:cs="Times New Roman"/>
        </w:rPr>
        <w:lastRenderedPageBreak/>
        <w:t xml:space="preserve">fact that the two main firms (Coca-Cola &amp; Pepsi) lack key inputs, this means that they have to set suppliers worldwide. Therefore, new comers in this industry have been facing a lot of challenges when entering the industry without setting suppliers. Notably, the government-imposed barriers like quota limits and tariffs on imports pose a significant challenge to all newcomers. For instance, a quota imposed on the sugar import is a serious issue in limiting competition across the American sugar industry </w:t>
      </w:r>
      <w:r w:rsidR="00416EFA" w:rsidRPr="00BF6D8A">
        <w:rPr>
          <w:rFonts w:ascii="Times New Roman" w:hAnsi="Times New Roman" w:cs="Times New Roman"/>
        </w:rPr>
        <w:t>(Hubbard &amp; O’Brien, 2015).</w:t>
      </w:r>
      <w:r w:rsidR="00416EFA" w:rsidRPr="00BF6D8A">
        <w:rPr>
          <w:rFonts w:ascii="Times New Roman" w:hAnsi="Times New Roman" w:cs="Times New Roman"/>
        </w:rPr>
        <w:t xml:space="preserve"> However, this is not to conclude that newcomers never enter the market despite the barriers to entry being so high. At the same time, these barriers </w:t>
      </w:r>
      <w:r w:rsidR="00ED24AC" w:rsidRPr="00BF6D8A">
        <w:rPr>
          <w:rFonts w:ascii="Times New Roman" w:hAnsi="Times New Roman" w:cs="Times New Roman"/>
        </w:rPr>
        <w:t xml:space="preserve">appear very </w:t>
      </w:r>
      <w:r w:rsidR="00AF6B54" w:rsidRPr="00BF6D8A">
        <w:rPr>
          <w:rFonts w:ascii="Times New Roman" w:hAnsi="Times New Roman" w:cs="Times New Roman"/>
        </w:rPr>
        <w:t>low</w:t>
      </w:r>
      <w:r w:rsidR="00ED24AC" w:rsidRPr="00BF6D8A">
        <w:rPr>
          <w:rFonts w:ascii="Times New Roman" w:hAnsi="Times New Roman" w:cs="Times New Roman"/>
        </w:rPr>
        <w:t xml:space="preserve"> on a local level. Therefore, Coca-Cola’s share could decrease suppose the newcomers succeed to enter the market without any barriers. This is why Coca-Cola had been buying off most of these newcomers before becoming threat. For instance, in 2012, Coca-Cola acquired Fuze Tea before it threatened the parent firm’s profitability. </w:t>
      </w:r>
    </w:p>
    <w:p w14:paraId="6568AF38" w14:textId="226029FB" w:rsidR="00ED24AC" w:rsidRPr="00BF6D8A" w:rsidRDefault="00ED24AC" w:rsidP="00EC380C">
      <w:pPr>
        <w:pStyle w:val="ListParagraph"/>
        <w:numPr>
          <w:ilvl w:val="0"/>
          <w:numId w:val="2"/>
        </w:numPr>
        <w:spacing w:line="240" w:lineRule="auto"/>
        <w:jc w:val="both"/>
        <w:rPr>
          <w:rFonts w:ascii="Times New Roman" w:hAnsi="Times New Roman" w:cs="Times New Roman"/>
          <w:b/>
          <w:bCs/>
        </w:rPr>
      </w:pPr>
      <w:r w:rsidRPr="00BF6D8A">
        <w:rPr>
          <w:rFonts w:ascii="Times New Roman" w:hAnsi="Times New Roman" w:cs="Times New Roman"/>
          <w:b/>
          <w:bCs/>
        </w:rPr>
        <w:t>Coca-Cola’s Market Structure</w:t>
      </w:r>
    </w:p>
    <w:p w14:paraId="37E9564E" w14:textId="77777777" w:rsidR="00BF6D8A" w:rsidRPr="00BF6D8A" w:rsidRDefault="00ED24AC" w:rsidP="00EC380C">
      <w:pPr>
        <w:spacing w:line="240" w:lineRule="auto"/>
        <w:jc w:val="both"/>
        <w:rPr>
          <w:rFonts w:ascii="Times New Roman" w:hAnsi="Times New Roman" w:cs="Times New Roman"/>
        </w:rPr>
      </w:pPr>
      <w:r w:rsidRPr="00BF6D8A">
        <w:rPr>
          <w:rFonts w:ascii="Times New Roman" w:hAnsi="Times New Roman" w:cs="Times New Roman"/>
        </w:rPr>
        <w:t xml:space="preserve">Studies portrays the soft drink market structure as oligopolistic in nature based on several aspects. First, two main corporations (Coca-Cola &amp; Pepsi) controlling a large market share percentage do exist. Secondly, there is a higher barrier to entry, and thirdly, both Coca-Cola and Pepsi companies </w:t>
      </w:r>
      <w:r w:rsidR="00BF6D8A" w:rsidRPr="00BF6D8A">
        <w:rPr>
          <w:rFonts w:ascii="Times New Roman" w:hAnsi="Times New Roman" w:cs="Times New Roman"/>
        </w:rPr>
        <w:t xml:space="preserve">had been engaging in no product-price differentiation, despite both using innovative marketing and advertisements to competing with each other. The two firms have recorded successful steps in developing brand loyalty from their marketing strategies, despite the fact that their products are almost the same. Therefore, such a market structure affects Coca-Cola’s market influencing ability since in an oligopoly market structure, companies must create business strategies involving how much should be advertised, the price to be charged, what new technologies should be adopted, the new markets to be entered, and managing supplier relations </w:t>
      </w:r>
      <w:r w:rsidR="00BF6D8A" w:rsidRPr="00BF6D8A">
        <w:rPr>
          <w:rFonts w:ascii="Times New Roman" w:hAnsi="Times New Roman" w:cs="Times New Roman"/>
        </w:rPr>
        <w:t>(Hubbard &amp; O’Brien, 2015).</w:t>
      </w:r>
    </w:p>
    <w:p w14:paraId="5E3749F7" w14:textId="54AA5279" w:rsidR="00ED24AC" w:rsidRDefault="00BF6D8A" w:rsidP="00EC380C">
      <w:pPr>
        <w:spacing w:line="240" w:lineRule="auto"/>
        <w:jc w:val="both"/>
        <w:rPr>
          <w:rFonts w:ascii="Times New Roman" w:hAnsi="Times New Roman" w:cs="Times New Roman"/>
          <w:b/>
          <w:bCs/>
        </w:rPr>
      </w:pPr>
      <w:r w:rsidRPr="00BF6D8A">
        <w:rPr>
          <w:rFonts w:ascii="Times New Roman" w:hAnsi="Times New Roman" w:cs="Times New Roman"/>
          <w:b/>
          <w:bCs/>
        </w:rPr>
        <w:t>Section Six: Recommendations</w:t>
      </w:r>
    </w:p>
    <w:p w14:paraId="252AD023" w14:textId="65AC8F5A" w:rsidR="009E5E28" w:rsidRPr="009E5E28" w:rsidRDefault="009E5E28" w:rsidP="00EC380C">
      <w:pPr>
        <w:pStyle w:val="ListParagraph"/>
        <w:numPr>
          <w:ilvl w:val="0"/>
          <w:numId w:val="3"/>
        </w:numPr>
        <w:spacing w:line="240" w:lineRule="auto"/>
        <w:jc w:val="both"/>
        <w:rPr>
          <w:rFonts w:ascii="Times New Roman" w:hAnsi="Times New Roman" w:cs="Times New Roman"/>
          <w:b/>
          <w:bCs/>
        </w:rPr>
      </w:pPr>
      <w:r>
        <w:rPr>
          <w:rFonts w:ascii="Times New Roman" w:hAnsi="Times New Roman" w:cs="Times New Roman"/>
          <w:b/>
          <w:bCs/>
        </w:rPr>
        <w:t>Future Production Management</w:t>
      </w:r>
    </w:p>
    <w:p w14:paraId="162F7630" w14:textId="0DD69B9F" w:rsidR="00B70A93" w:rsidRDefault="00BF6D8A" w:rsidP="00EC380C">
      <w:pPr>
        <w:spacing w:line="240" w:lineRule="auto"/>
        <w:jc w:val="both"/>
        <w:rPr>
          <w:rFonts w:ascii="Times New Roman" w:hAnsi="Times New Roman" w:cs="Times New Roman"/>
        </w:rPr>
      </w:pPr>
      <w:r>
        <w:rPr>
          <w:rFonts w:ascii="Times New Roman" w:hAnsi="Times New Roman" w:cs="Times New Roman"/>
        </w:rPr>
        <w:t xml:space="preserve">There are numerous frameworks whereby the Coca-Cola company can increase its production in future. First, Coca-Cola must continue lowering its fixed costs because constantly selling off the bottling firms would facilitate minimizing the </w:t>
      </w:r>
      <w:r w:rsidR="009E5E28">
        <w:rPr>
          <w:rFonts w:ascii="Times New Roman" w:hAnsi="Times New Roman" w:cs="Times New Roman"/>
        </w:rPr>
        <w:t xml:space="preserve">equipment’s fixed costs. Besides, the firm must grow its supplier base since more suppliers could lead to better price agreements in regards to raw materials, since they can reduce the current raw materials’ costs whereby acquiring more output volumes. For example, Coca-Cola could increase its outputs significantly if it reduces the costs. Additionally, the firm should continuously differentiate its products from those of its rivals while at the same time growing its new products’ portfolio. It could be wise for the firm to spend more funds on research &amp; development and advertisements, especially on the new healthier ingredients. Studies suggest that advertisements had been helping the firm from the past, especially the “share a coke” campaign that saw the firm create a large consumer loyalty. </w:t>
      </w:r>
    </w:p>
    <w:p w14:paraId="7D1CCB25" w14:textId="7DB25152" w:rsidR="009E5E28" w:rsidRDefault="009E5E28" w:rsidP="00EC380C">
      <w:pPr>
        <w:pStyle w:val="ListParagraph"/>
        <w:numPr>
          <w:ilvl w:val="0"/>
          <w:numId w:val="3"/>
        </w:numPr>
        <w:spacing w:line="240" w:lineRule="auto"/>
        <w:jc w:val="both"/>
        <w:rPr>
          <w:rFonts w:ascii="Times New Roman" w:hAnsi="Times New Roman" w:cs="Times New Roman"/>
          <w:b/>
          <w:bCs/>
        </w:rPr>
      </w:pPr>
      <w:r w:rsidRPr="009E5E28">
        <w:rPr>
          <w:rFonts w:ascii="Times New Roman" w:hAnsi="Times New Roman" w:cs="Times New Roman"/>
          <w:b/>
          <w:bCs/>
        </w:rPr>
        <w:t>Taking the Recommended Action</w:t>
      </w:r>
    </w:p>
    <w:p w14:paraId="3CE6A921" w14:textId="3A218562" w:rsidR="009E5E28" w:rsidRDefault="009E5E28" w:rsidP="00EC380C">
      <w:pPr>
        <w:spacing w:line="240" w:lineRule="auto"/>
        <w:jc w:val="both"/>
        <w:rPr>
          <w:rFonts w:ascii="Times New Roman" w:hAnsi="Times New Roman" w:cs="Times New Roman"/>
        </w:rPr>
      </w:pPr>
      <w:r>
        <w:rPr>
          <w:rFonts w:ascii="Times New Roman" w:hAnsi="Times New Roman" w:cs="Times New Roman"/>
        </w:rPr>
        <w:t xml:space="preserve">The position of Coca-Cola across the market as well as among its rivals would help the firm into taking the recommended actions. Coca-Cola is one of the major, if not the leading firms </w:t>
      </w:r>
      <w:r w:rsidR="00C71C67">
        <w:rPr>
          <w:rFonts w:ascii="Times New Roman" w:hAnsi="Times New Roman" w:cs="Times New Roman"/>
        </w:rPr>
        <w:t>across the soft-drinks market in the world. Therefore, most of the suppliers are often willing to have price agreement negotiations for them to retain the company as one of their primary customers. As a result, it could be very smooth executing if the firm was to attract new suppliers of similar raw materials.</w:t>
      </w:r>
    </w:p>
    <w:p w14:paraId="3306D63F" w14:textId="46AF03B1" w:rsidR="00C71C67" w:rsidRDefault="00C71C67" w:rsidP="00EC380C">
      <w:pPr>
        <w:pStyle w:val="ListParagraph"/>
        <w:numPr>
          <w:ilvl w:val="0"/>
          <w:numId w:val="3"/>
        </w:numPr>
        <w:spacing w:line="240" w:lineRule="auto"/>
        <w:jc w:val="both"/>
        <w:rPr>
          <w:rFonts w:ascii="Times New Roman" w:hAnsi="Times New Roman" w:cs="Times New Roman"/>
          <w:b/>
          <w:bCs/>
        </w:rPr>
      </w:pPr>
      <w:r w:rsidRPr="00C71C67">
        <w:rPr>
          <w:rFonts w:ascii="Times New Roman" w:hAnsi="Times New Roman" w:cs="Times New Roman"/>
          <w:b/>
          <w:bCs/>
        </w:rPr>
        <w:t>How Coca-Cola can Sustain its Success</w:t>
      </w:r>
    </w:p>
    <w:p w14:paraId="432D6695" w14:textId="5A947E67" w:rsidR="00C71C67" w:rsidRDefault="00C71C67" w:rsidP="00EC380C">
      <w:pPr>
        <w:spacing w:line="240" w:lineRule="auto"/>
        <w:jc w:val="both"/>
        <w:rPr>
          <w:rFonts w:ascii="Times New Roman" w:hAnsi="Times New Roman" w:cs="Times New Roman"/>
        </w:rPr>
      </w:pPr>
      <w:r>
        <w:rPr>
          <w:rFonts w:ascii="Times New Roman" w:hAnsi="Times New Roman" w:cs="Times New Roman"/>
        </w:rPr>
        <w:t xml:space="preserve">Constant meeting or fulfilling the customers’ demand is the most significant strategy for Coca-Cola to sustain its business success. For instance, the firm must proceed with expanding its products’ portfolio with much healthier outputs, even if it means a slight price decrease because such a strategy would lead to higher revenues from more selling of goods due to the decreased prices and costs. Such a strategy is highly </w:t>
      </w:r>
      <w:r>
        <w:rPr>
          <w:rFonts w:ascii="Times New Roman" w:hAnsi="Times New Roman" w:cs="Times New Roman"/>
        </w:rPr>
        <w:lastRenderedPageBreak/>
        <w:t xml:space="preserve">reflected on the new sizes of containers rolled out by Coca-Cola since there could be a negative effect on the firm’s profitability in case it continues keeping the smaller sizes of containers at the similar price points. </w:t>
      </w:r>
    </w:p>
    <w:p w14:paraId="0DC2272A" w14:textId="473C427B" w:rsidR="00C71C67" w:rsidRDefault="00C71C67" w:rsidP="00EC380C">
      <w:pPr>
        <w:spacing w:line="240" w:lineRule="auto"/>
        <w:jc w:val="center"/>
        <w:rPr>
          <w:rFonts w:ascii="Times New Roman" w:hAnsi="Times New Roman" w:cs="Times New Roman"/>
          <w:b/>
          <w:bCs/>
        </w:rPr>
      </w:pPr>
      <w:r w:rsidRPr="00C71C67">
        <w:rPr>
          <w:rFonts w:ascii="Times New Roman" w:hAnsi="Times New Roman" w:cs="Times New Roman"/>
          <w:b/>
          <w:bCs/>
        </w:rPr>
        <w:t>Reference</w:t>
      </w:r>
      <w:r w:rsidR="006F0BA0">
        <w:rPr>
          <w:rFonts w:ascii="Times New Roman" w:hAnsi="Times New Roman" w:cs="Times New Roman"/>
          <w:b/>
          <w:bCs/>
        </w:rPr>
        <w:t>s</w:t>
      </w:r>
    </w:p>
    <w:p w14:paraId="32F6239E" w14:textId="6DCF3E53" w:rsidR="006F0BA0" w:rsidRPr="00EC380C" w:rsidRDefault="006F0BA0" w:rsidP="00EC380C">
      <w:pPr>
        <w:tabs>
          <w:tab w:val="left" w:pos="720"/>
        </w:tabs>
        <w:spacing w:line="240" w:lineRule="auto"/>
        <w:ind w:left="720" w:hanging="720"/>
        <w:rPr>
          <w:rStyle w:val="Hyperlink"/>
          <w:rFonts w:ascii="Times New Roman" w:hAnsi="Times New Roman" w:cs="Times New Roman"/>
        </w:rPr>
      </w:pPr>
      <w:r w:rsidRPr="00EC380C">
        <w:rPr>
          <w:rFonts w:ascii="Times New Roman" w:hAnsi="Times New Roman" w:cs="Times New Roman"/>
        </w:rPr>
        <w:t xml:space="preserve">Fortune. (2016). </w:t>
      </w:r>
      <w:r w:rsidRPr="00EC380C">
        <w:rPr>
          <w:rFonts w:ascii="Times New Roman" w:hAnsi="Times New Roman" w:cs="Times New Roman"/>
          <w:i/>
        </w:rPr>
        <w:t>Cost-Cutting Is Helping Coke Make More Money.</w:t>
      </w:r>
      <w:r w:rsidRPr="00EC380C">
        <w:rPr>
          <w:rFonts w:ascii="Times New Roman" w:hAnsi="Times New Roman" w:cs="Times New Roman"/>
        </w:rPr>
        <w:t xml:space="preserve"> Retrieved from </w:t>
      </w:r>
      <w:hyperlink r:id="rId9" w:history="1">
        <w:r w:rsidRPr="00EC380C">
          <w:rPr>
            <w:rStyle w:val="Hyperlink"/>
            <w:rFonts w:ascii="Times New Roman" w:hAnsi="Times New Roman" w:cs="Times New Roman"/>
          </w:rPr>
          <w:t>http://fortune.com/2016/02/09/coca-cola-cost-cutting/</w:t>
        </w:r>
      </w:hyperlink>
    </w:p>
    <w:p w14:paraId="2864F0B5" w14:textId="77777777" w:rsidR="006F0BA0" w:rsidRPr="00EC380C" w:rsidRDefault="006F0BA0" w:rsidP="00EC380C">
      <w:pPr>
        <w:pStyle w:val="Heading1"/>
        <w:spacing w:line="240" w:lineRule="auto"/>
        <w:ind w:left="720" w:hanging="720"/>
        <w:rPr>
          <w:rStyle w:val="Hyperlink"/>
          <w:rFonts w:ascii="Times New Roman" w:eastAsia="Times New Roman" w:hAnsi="Times New Roman" w:cs="Times New Roman"/>
          <w:kern w:val="36"/>
          <w:sz w:val="22"/>
          <w:szCs w:val="22"/>
        </w:rPr>
      </w:pPr>
      <w:r w:rsidRPr="00EC380C">
        <w:rPr>
          <w:rFonts w:ascii="Times New Roman" w:hAnsi="Times New Roman" w:cs="Times New Roman"/>
          <w:color w:val="auto"/>
          <w:sz w:val="22"/>
          <w:szCs w:val="22"/>
        </w:rPr>
        <w:t xml:space="preserve">Statista. (2017). </w:t>
      </w:r>
      <w:r w:rsidRPr="00EC380C">
        <w:rPr>
          <w:rFonts w:ascii="Times New Roman" w:eastAsia="Times New Roman" w:hAnsi="Times New Roman" w:cs="Times New Roman"/>
          <w:bCs/>
          <w:i/>
          <w:color w:val="auto"/>
          <w:kern w:val="36"/>
          <w:sz w:val="22"/>
          <w:szCs w:val="22"/>
        </w:rPr>
        <w:t>Leading LRB companies in the U.S. 2015, based on volume share.</w:t>
      </w:r>
      <w:r w:rsidRPr="00EC380C">
        <w:rPr>
          <w:rFonts w:ascii="Times New Roman" w:eastAsia="Times New Roman" w:hAnsi="Times New Roman" w:cs="Times New Roman"/>
          <w:bCs/>
          <w:color w:val="auto"/>
          <w:kern w:val="36"/>
          <w:sz w:val="22"/>
          <w:szCs w:val="22"/>
        </w:rPr>
        <w:t xml:space="preserve"> Retrieved from </w:t>
      </w:r>
      <w:hyperlink r:id="rId10" w:history="1">
        <w:r w:rsidRPr="00EC380C">
          <w:rPr>
            <w:rStyle w:val="Hyperlink"/>
            <w:rFonts w:ascii="Times New Roman" w:eastAsia="Times New Roman" w:hAnsi="Times New Roman" w:cs="Times New Roman"/>
            <w:kern w:val="36"/>
            <w:sz w:val="22"/>
            <w:szCs w:val="22"/>
          </w:rPr>
          <w:t>https://www.statista.com/statistics/225522/leading-liquid-refreshment-beverage-companies-in-the-us-in/</w:t>
        </w:r>
      </w:hyperlink>
    </w:p>
    <w:p w14:paraId="407CBC6F" w14:textId="77777777" w:rsidR="00EC380C" w:rsidRDefault="00EC380C" w:rsidP="00EC380C">
      <w:pPr>
        <w:spacing w:line="240" w:lineRule="auto"/>
        <w:ind w:left="720" w:hanging="720"/>
        <w:jc w:val="both"/>
        <w:rPr>
          <w:rFonts w:ascii="Times New Roman" w:hAnsi="Times New Roman" w:cs="Times New Roman"/>
          <w:b/>
          <w:sz w:val="24"/>
          <w:szCs w:val="24"/>
        </w:rPr>
      </w:pPr>
    </w:p>
    <w:p w14:paraId="3E928981" w14:textId="428341B6" w:rsidR="00EC380C" w:rsidRDefault="00EC380C" w:rsidP="00EC380C">
      <w:pPr>
        <w:spacing w:line="240" w:lineRule="auto"/>
        <w:ind w:left="720" w:hanging="720"/>
        <w:rPr>
          <w:rFonts w:ascii="Times New Roman" w:hAnsi="Times New Roman" w:cs="Times New Roman"/>
          <w:b/>
          <w:sz w:val="24"/>
          <w:szCs w:val="24"/>
        </w:rPr>
      </w:pPr>
      <w:r>
        <w:rPr>
          <w:rFonts w:ascii="Times New Roman" w:hAnsi="Times New Roman" w:cs="Times New Roman"/>
          <w:b/>
          <w:sz w:val="24"/>
          <w:szCs w:val="24"/>
        </w:rPr>
        <w:t>NB: Hello my friend. Remember to delete this part before you submit your work.</w:t>
      </w:r>
    </w:p>
    <w:p w14:paraId="16B1EAA4" w14:textId="77777777" w:rsidR="00EC380C" w:rsidRDefault="00EC380C" w:rsidP="00EC380C">
      <w:pPr>
        <w:spacing w:line="240" w:lineRule="auto"/>
        <w:ind w:left="720" w:hanging="720"/>
        <w:rPr>
          <w:rFonts w:ascii="Times New Roman" w:hAnsi="Times New Roman" w:cs="Times New Roman"/>
          <w:b/>
          <w:sz w:val="24"/>
          <w:szCs w:val="24"/>
        </w:rPr>
      </w:pPr>
      <w:r>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14:paraId="4296E798" w14:textId="77777777" w:rsidR="006F0BA0" w:rsidRPr="009F2D9A" w:rsidRDefault="006F0BA0" w:rsidP="006F0BA0">
      <w:pPr>
        <w:tabs>
          <w:tab w:val="left" w:pos="720"/>
        </w:tabs>
        <w:spacing w:line="480" w:lineRule="auto"/>
        <w:ind w:left="720" w:hanging="720"/>
        <w:rPr>
          <w:rFonts w:ascii="Times New Roman" w:hAnsi="Times New Roman" w:cs="Times New Roman"/>
          <w:sz w:val="24"/>
          <w:szCs w:val="24"/>
        </w:rPr>
      </w:pPr>
    </w:p>
    <w:p w14:paraId="29865108" w14:textId="77777777" w:rsidR="006F0BA0" w:rsidRDefault="006F0BA0" w:rsidP="00C71C67">
      <w:pPr>
        <w:spacing w:line="240" w:lineRule="auto"/>
        <w:rPr>
          <w:rFonts w:ascii="Times New Roman" w:hAnsi="Times New Roman" w:cs="Times New Roman"/>
          <w:b/>
          <w:bCs/>
        </w:rPr>
      </w:pPr>
    </w:p>
    <w:p w14:paraId="266CCA4E" w14:textId="77777777" w:rsidR="00C71C67" w:rsidRPr="00C71C67" w:rsidRDefault="00C71C67" w:rsidP="00C71C67">
      <w:pPr>
        <w:spacing w:line="240" w:lineRule="auto"/>
        <w:rPr>
          <w:rFonts w:ascii="Times New Roman" w:hAnsi="Times New Roman" w:cs="Times New Roman"/>
          <w:b/>
          <w:bCs/>
        </w:rPr>
      </w:pPr>
    </w:p>
    <w:sectPr w:rsidR="00C71C67" w:rsidRPr="00C71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9516E3"/>
    <w:multiLevelType w:val="hybridMultilevel"/>
    <w:tmpl w:val="FE720616"/>
    <w:lvl w:ilvl="0" w:tplc="8806F47C">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3E0318"/>
    <w:multiLevelType w:val="hybridMultilevel"/>
    <w:tmpl w:val="FD762A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443D2D"/>
    <w:multiLevelType w:val="hybridMultilevel"/>
    <w:tmpl w:val="67AA7E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93"/>
    <w:rsid w:val="003A7168"/>
    <w:rsid w:val="00416EFA"/>
    <w:rsid w:val="006F0BA0"/>
    <w:rsid w:val="007B14BC"/>
    <w:rsid w:val="00807F41"/>
    <w:rsid w:val="0082186E"/>
    <w:rsid w:val="00890ED8"/>
    <w:rsid w:val="009E5E28"/>
    <w:rsid w:val="00AF6B54"/>
    <w:rsid w:val="00B70A93"/>
    <w:rsid w:val="00BF3B29"/>
    <w:rsid w:val="00BF6D8A"/>
    <w:rsid w:val="00C71C67"/>
    <w:rsid w:val="00EC380C"/>
    <w:rsid w:val="00ED24AC"/>
    <w:rsid w:val="00FB7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9EE1C"/>
  <w15:chartTrackingRefBased/>
  <w15:docId w15:val="{AD53C6C2-9419-4622-829D-0A8C66AAE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B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0A93"/>
    <w:pPr>
      <w:ind w:left="720"/>
      <w:contextualSpacing/>
    </w:pPr>
  </w:style>
  <w:style w:type="character" w:styleId="Hyperlink">
    <w:name w:val="Hyperlink"/>
    <w:basedOn w:val="DefaultParagraphFont"/>
    <w:uiPriority w:val="99"/>
    <w:unhideWhenUsed/>
    <w:rsid w:val="006F0BA0"/>
    <w:rPr>
      <w:color w:val="0563C1" w:themeColor="hyperlink"/>
      <w:u w:val="single"/>
    </w:rPr>
  </w:style>
  <w:style w:type="character" w:customStyle="1" w:styleId="Heading1Char">
    <w:name w:val="Heading 1 Char"/>
    <w:basedOn w:val="DefaultParagraphFont"/>
    <w:link w:val="Heading1"/>
    <w:uiPriority w:val="9"/>
    <w:rsid w:val="006F0BA0"/>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6F0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statistics/225464/market-share-of-leading-soft-drink-companies-in-the-us-since-2004/" TargetMode="Externa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ca-colacompany.com/investors/annual-other-reports" TargetMode="External"/><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hyperlink" Target="https://www.statista.com/statistics/225522/leading-liquid-refreshment-beverage-companies-in-the-us-in/" TargetMode="External"/><Relationship Id="rId4" Type="http://schemas.openxmlformats.org/officeDocument/2006/relationships/webSettings" Target="webSettings.xml"/><Relationship Id="rId9" Type="http://schemas.openxmlformats.org/officeDocument/2006/relationships/hyperlink" Target="http://fortune.com/2016/02/09/coca-cola-cost-cutting/"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a:t>
            </a:r>
            <a:r>
              <a:rPr lang="en-US" baseline="0"/>
              <a:t> Coca-Cola Company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Sheet1!$A$2</c:f>
              <c:strCache>
                <c:ptCount val="1"/>
                <c:pt idx="0">
                  <c:v>COGS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Sheet1!$B$1:$F$1</c:f>
              <c:numCache>
                <c:formatCode>General</c:formatCode>
                <c:ptCount val="5"/>
                <c:pt idx="0">
                  <c:v>2012</c:v>
                </c:pt>
                <c:pt idx="1">
                  <c:v>2013</c:v>
                </c:pt>
                <c:pt idx="2">
                  <c:v>2014</c:v>
                </c:pt>
                <c:pt idx="3">
                  <c:v>2015</c:v>
                </c:pt>
                <c:pt idx="4">
                  <c:v>2016</c:v>
                </c:pt>
              </c:numCache>
            </c:numRef>
          </c:cat>
          <c:val>
            <c:numRef>
              <c:f>Sheet1!$B$2:$F$2</c:f>
              <c:numCache>
                <c:formatCode>"$"#,##0_);[Red]\("$"#,##0\)</c:formatCode>
                <c:ptCount val="5"/>
                <c:pt idx="0">
                  <c:v>19053</c:v>
                </c:pt>
                <c:pt idx="1">
                  <c:v>18421</c:v>
                </c:pt>
                <c:pt idx="2">
                  <c:v>17889</c:v>
                </c:pt>
                <c:pt idx="3">
                  <c:v>17482</c:v>
                </c:pt>
                <c:pt idx="4">
                  <c:v>16465</c:v>
                </c:pt>
              </c:numCache>
            </c:numRef>
          </c:val>
          <c:smooth val="0"/>
          <c:extLst>
            <c:ext xmlns:c16="http://schemas.microsoft.com/office/drawing/2014/chart" uri="{C3380CC4-5D6E-409C-BE32-E72D297353CC}">
              <c16:uniqueId val="{00000000-AD1B-4647-AFE1-18465175B096}"/>
            </c:ext>
          </c:extLst>
        </c:ser>
        <c:ser>
          <c:idx val="1"/>
          <c:order val="1"/>
          <c:tx>
            <c:strRef>
              <c:f>Sheet1!$A$3</c:f>
              <c:strCache>
                <c:ptCount val="1"/>
                <c:pt idx="0">
                  <c:v>Gross Profit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Sheet1!$B$1:$F$1</c:f>
              <c:numCache>
                <c:formatCode>General</c:formatCode>
                <c:ptCount val="5"/>
                <c:pt idx="0">
                  <c:v>2012</c:v>
                </c:pt>
                <c:pt idx="1">
                  <c:v>2013</c:v>
                </c:pt>
                <c:pt idx="2">
                  <c:v>2014</c:v>
                </c:pt>
                <c:pt idx="3">
                  <c:v>2015</c:v>
                </c:pt>
                <c:pt idx="4">
                  <c:v>2016</c:v>
                </c:pt>
              </c:numCache>
            </c:numRef>
          </c:cat>
          <c:val>
            <c:numRef>
              <c:f>Sheet1!$B$3:$F$3</c:f>
              <c:numCache>
                <c:formatCode>"$"#,##0_);[Red]\("$"#,##0\)</c:formatCode>
                <c:ptCount val="5"/>
                <c:pt idx="0">
                  <c:v>28964</c:v>
                </c:pt>
                <c:pt idx="1">
                  <c:v>28433</c:v>
                </c:pt>
                <c:pt idx="2">
                  <c:v>28109</c:v>
                </c:pt>
                <c:pt idx="3">
                  <c:v>26812</c:v>
                </c:pt>
                <c:pt idx="4">
                  <c:v>25398</c:v>
                </c:pt>
              </c:numCache>
            </c:numRef>
          </c:val>
          <c:smooth val="0"/>
          <c:extLst>
            <c:ext xmlns:c16="http://schemas.microsoft.com/office/drawing/2014/chart" uri="{C3380CC4-5D6E-409C-BE32-E72D297353CC}">
              <c16:uniqueId val="{00000001-AD1B-4647-AFE1-18465175B096}"/>
            </c:ext>
          </c:extLst>
        </c:ser>
        <c:dLbls>
          <c:showLegendKey val="0"/>
          <c:showVal val="0"/>
          <c:showCatName val="0"/>
          <c:showSerName val="0"/>
          <c:showPercent val="0"/>
          <c:showBubbleSize val="0"/>
        </c:dLbls>
        <c:marker val="1"/>
        <c:smooth val="0"/>
        <c:axId val="403422528"/>
        <c:axId val="403415640"/>
      </c:lineChart>
      <c:catAx>
        <c:axId val="40342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415640"/>
        <c:crosses val="autoZero"/>
        <c:auto val="1"/>
        <c:lblAlgn val="ctr"/>
        <c:lblOffset val="100"/>
        <c:noMultiLvlLbl val="0"/>
      </c:catAx>
      <c:valAx>
        <c:axId val="403415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 Millions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42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Soft Drink</a:t>
            </a:r>
            <a:r>
              <a:rPr lang="en-US" baseline="0"/>
              <a:t> Market Share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Sheet1!$A$2</c:f>
              <c:strCache>
                <c:ptCount val="1"/>
                <c:pt idx="0">
                  <c:v>Coca-Cola</c:v>
                </c:pt>
              </c:strCache>
            </c:strRef>
          </c:tx>
          <c:spPr>
            <a:solidFill>
              <a:schemeClr val="accent1"/>
            </a:solidFill>
            <a:ln>
              <a:noFill/>
            </a:ln>
            <a:effectLst/>
          </c:spPr>
          <c:invertIfNegative val="0"/>
          <c:val>
            <c:numRef>
              <c:f>Sheet1!$B$2:$M$2</c:f>
              <c:numCache>
                <c:formatCode>General</c:formatCode>
                <c:ptCount val="12"/>
                <c:pt idx="0">
                  <c:v>43.1</c:v>
                </c:pt>
                <c:pt idx="1">
                  <c:v>43.1</c:v>
                </c:pt>
                <c:pt idx="2">
                  <c:v>42.9</c:v>
                </c:pt>
                <c:pt idx="3">
                  <c:v>42.8</c:v>
                </c:pt>
                <c:pt idx="4">
                  <c:v>42.7</c:v>
                </c:pt>
                <c:pt idx="5">
                  <c:v>41.9</c:v>
                </c:pt>
                <c:pt idx="6">
                  <c:v>42</c:v>
                </c:pt>
                <c:pt idx="7">
                  <c:v>41.9</c:v>
                </c:pt>
                <c:pt idx="8">
                  <c:v>42</c:v>
                </c:pt>
                <c:pt idx="9">
                  <c:v>42.4</c:v>
                </c:pt>
                <c:pt idx="10">
                  <c:v>42.3</c:v>
                </c:pt>
                <c:pt idx="11">
                  <c:v>42.5</c:v>
                </c:pt>
              </c:numCache>
            </c:numRef>
          </c:val>
          <c:extLst>
            <c:ext xmlns:c16="http://schemas.microsoft.com/office/drawing/2014/chart" uri="{C3380CC4-5D6E-409C-BE32-E72D297353CC}">
              <c16:uniqueId val="{00000000-86ED-4C76-9F6C-7413FE15A786}"/>
            </c:ext>
          </c:extLst>
        </c:ser>
        <c:ser>
          <c:idx val="1"/>
          <c:order val="1"/>
          <c:tx>
            <c:strRef>
              <c:f>Sheet1!$A$3</c:f>
              <c:strCache>
                <c:ptCount val="1"/>
                <c:pt idx="0">
                  <c:v>Pepsi</c:v>
                </c:pt>
              </c:strCache>
            </c:strRef>
          </c:tx>
          <c:spPr>
            <a:solidFill>
              <a:schemeClr val="accent2"/>
            </a:solidFill>
            <a:ln>
              <a:noFill/>
            </a:ln>
            <a:effectLst/>
          </c:spPr>
          <c:invertIfNegative val="0"/>
          <c:val>
            <c:numRef>
              <c:f>Sheet1!$B$3:$M$3</c:f>
              <c:numCache>
                <c:formatCode>General</c:formatCode>
                <c:ptCount val="12"/>
                <c:pt idx="0">
                  <c:v>31.7</c:v>
                </c:pt>
                <c:pt idx="1">
                  <c:v>31.4</c:v>
                </c:pt>
                <c:pt idx="2">
                  <c:v>31.2</c:v>
                </c:pt>
                <c:pt idx="3">
                  <c:v>31.1</c:v>
                </c:pt>
                <c:pt idx="4">
                  <c:v>30.8</c:v>
                </c:pt>
                <c:pt idx="5">
                  <c:v>29.9</c:v>
                </c:pt>
                <c:pt idx="6">
                  <c:v>29.3</c:v>
                </c:pt>
                <c:pt idx="7">
                  <c:v>28.5</c:v>
                </c:pt>
                <c:pt idx="8">
                  <c:v>28.1</c:v>
                </c:pt>
                <c:pt idx="9">
                  <c:v>27.7</c:v>
                </c:pt>
                <c:pt idx="10">
                  <c:v>27.5</c:v>
                </c:pt>
                <c:pt idx="11">
                  <c:v>27</c:v>
                </c:pt>
              </c:numCache>
            </c:numRef>
          </c:val>
          <c:extLst>
            <c:ext xmlns:c16="http://schemas.microsoft.com/office/drawing/2014/chart" uri="{C3380CC4-5D6E-409C-BE32-E72D297353CC}">
              <c16:uniqueId val="{00000001-86ED-4C76-9F6C-7413FE15A786}"/>
            </c:ext>
          </c:extLst>
        </c:ser>
        <c:ser>
          <c:idx val="2"/>
          <c:order val="2"/>
          <c:tx>
            <c:strRef>
              <c:f>Sheet1!$A$4</c:f>
              <c:strCache>
                <c:ptCount val="1"/>
                <c:pt idx="0">
                  <c:v>Dr Pepper Snapple</c:v>
                </c:pt>
              </c:strCache>
            </c:strRef>
          </c:tx>
          <c:spPr>
            <a:solidFill>
              <a:schemeClr val="accent3"/>
            </a:solidFill>
            <a:ln>
              <a:noFill/>
            </a:ln>
            <a:effectLst/>
          </c:spPr>
          <c:invertIfNegative val="0"/>
          <c:val>
            <c:numRef>
              <c:f>Sheet1!$B$4:$M$4</c:f>
              <c:numCache>
                <c:formatCode>General</c:formatCode>
                <c:ptCount val="12"/>
                <c:pt idx="0">
                  <c:v>14.5</c:v>
                </c:pt>
                <c:pt idx="1">
                  <c:v>14.6</c:v>
                </c:pt>
                <c:pt idx="2">
                  <c:v>14.9</c:v>
                </c:pt>
                <c:pt idx="3">
                  <c:v>15</c:v>
                </c:pt>
                <c:pt idx="4">
                  <c:v>15.3</c:v>
                </c:pt>
                <c:pt idx="5">
                  <c:v>16.399999999999999</c:v>
                </c:pt>
                <c:pt idx="6">
                  <c:v>16.7</c:v>
                </c:pt>
                <c:pt idx="7">
                  <c:v>16.7</c:v>
                </c:pt>
                <c:pt idx="8">
                  <c:v>16.8</c:v>
                </c:pt>
                <c:pt idx="9">
                  <c:v>16.899999999999999</c:v>
                </c:pt>
                <c:pt idx="10">
                  <c:v>17.100000000000001</c:v>
                </c:pt>
                <c:pt idx="11">
                  <c:v>17.3</c:v>
                </c:pt>
              </c:numCache>
            </c:numRef>
          </c:val>
          <c:extLst>
            <c:ext xmlns:c16="http://schemas.microsoft.com/office/drawing/2014/chart" uri="{C3380CC4-5D6E-409C-BE32-E72D297353CC}">
              <c16:uniqueId val="{00000002-86ED-4C76-9F6C-7413FE15A786}"/>
            </c:ext>
          </c:extLst>
        </c:ser>
        <c:ser>
          <c:idx val="3"/>
          <c:order val="3"/>
          <c:tx>
            <c:strRef>
              <c:f>Sheet1!$A$5</c:f>
              <c:strCache>
                <c:ptCount val="1"/>
                <c:pt idx="0">
                  <c:v>Cott</c:v>
                </c:pt>
              </c:strCache>
            </c:strRef>
          </c:tx>
          <c:spPr>
            <a:solidFill>
              <a:schemeClr val="accent4"/>
            </a:solidFill>
            <a:ln>
              <a:noFill/>
            </a:ln>
            <a:effectLst/>
          </c:spPr>
          <c:invertIfNegative val="0"/>
          <c:val>
            <c:numRef>
              <c:f>Sheet1!$B$5:$M$5</c:f>
              <c:numCache>
                <c:formatCode>General</c:formatCode>
                <c:ptCount val="12"/>
                <c:pt idx="0">
                  <c:v>5.5</c:v>
                </c:pt>
                <c:pt idx="1">
                  <c:v>5.4</c:v>
                </c:pt>
                <c:pt idx="2">
                  <c:v>5.0999999999999996</c:v>
                </c:pt>
                <c:pt idx="3">
                  <c:v>4.8</c:v>
                </c:pt>
                <c:pt idx="4">
                  <c:v>4.7</c:v>
                </c:pt>
                <c:pt idx="5">
                  <c:v>4.9000000000000004</c:v>
                </c:pt>
                <c:pt idx="6">
                  <c:v>4.8</c:v>
                </c:pt>
                <c:pt idx="7">
                  <c:v>5.2</c:v>
                </c:pt>
                <c:pt idx="8">
                  <c:v>4.7</c:v>
                </c:pt>
                <c:pt idx="9">
                  <c:v>4.5</c:v>
                </c:pt>
                <c:pt idx="10">
                  <c:v>4.2</c:v>
                </c:pt>
                <c:pt idx="11">
                  <c:v>4</c:v>
                </c:pt>
              </c:numCache>
            </c:numRef>
          </c:val>
          <c:extLst>
            <c:ext xmlns:c16="http://schemas.microsoft.com/office/drawing/2014/chart" uri="{C3380CC4-5D6E-409C-BE32-E72D297353CC}">
              <c16:uniqueId val="{00000003-86ED-4C76-9F6C-7413FE15A786}"/>
            </c:ext>
          </c:extLst>
        </c:ser>
        <c:ser>
          <c:idx val="4"/>
          <c:order val="4"/>
          <c:tx>
            <c:strRef>
              <c:f>Sheet1!$A$6</c:f>
              <c:strCache>
                <c:ptCount val="1"/>
                <c:pt idx="0">
                  <c:v>National Beverage</c:v>
                </c:pt>
              </c:strCache>
            </c:strRef>
          </c:tx>
          <c:spPr>
            <a:solidFill>
              <a:schemeClr val="accent5"/>
            </a:solidFill>
            <a:ln>
              <a:noFill/>
            </a:ln>
            <a:effectLst/>
          </c:spPr>
          <c:invertIfNegative val="0"/>
          <c:val>
            <c:numRef>
              <c:f>Sheet1!$B$6:$M$6</c:f>
              <c:numCache>
                <c:formatCode>General</c:formatCode>
                <c:ptCount val="12"/>
                <c:pt idx="0">
                  <c:v>2.4</c:v>
                </c:pt>
                <c:pt idx="1">
                  <c:v>2.4</c:v>
                </c:pt>
                <c:pt idx="2">
                  <c:v>2.5</c:v>
                </c:pt>
                <c:pt idx="3">
                  <c:v>2.5</c:v>
                </c:pt>
                <c:pt idx="4">
                  <c:v>2.6</c:v>
                </c:pt>
                <c:pt idx="5">
                  <c:v>2.7</c:v>
                </c:pt>
                <c:pt idx="6">
                  <c:v>2.8</c:v>
                </c:pt>
                <c:pt idx="7">
                  <c:v>2.8</c:v>
                </c:pt>
                <c:pt idx="8">
                  <c:v>2.9</c:v>
                </c:pt>
                <c:pt idx="9">
                  <c:v>2.9</c:v>
                </c:pt>
                <c:pt idx="10">
                  <c:v>2.9</c:v>
                </c:pt>
                <c:pt idx="11">
                  <c:v>3</c:v>
                </c:pt>
              </c:numCache>
            </c:numRef>
          </c:val>
          <c:extLst>
            <c:ext xmlns:c16="http://schemas.microsoft.com/office/drawing/2014/chart" uri="{C3380CC4-5D6E-409C-BE32-E72D297353CC}">
              <c16:uniqueId val="{00000004-86ED-4C76-9F6C-7413FE15A786}"/>
            </c:ext>
          </c:extLst>
        </c:ser>
        <c:ser>
          <c:idx val="5"/>
          <c:order val="5"/>
          <c:tx>
            <c:strRef>
              <c:f>Sheet1!$A$7</c:f>
              <c:strCache>
                <c:ptCount val="1"/>
                <c:pt idx="0">
                  <c:v>Other</c:v>
                </c:pt>
              </c:strCache>
            </c:strRef>
          </c:tx>
          <c:spPr>
            <a:solidFill>
              <a:schemeClr val="accent6"/>
            </a:solidFill>
            <a:ln>
              <a:noFill/>
            </a:ln>
            <a:effectLst/>
          </c:spPr>
          <c:invertIfNegative val="0"/>
          <c:val>
            <c:numRef>
              <c:f>Sheet1!$B$7:$M$7</c:f>
              <c:numCache>
                <c:formatCode>General</c:formatCode>
                <c:ptCount val="12"/>
                <c:pt idx="0">
                  <c:v>2.8</c:v>
                </c:pt>
                <c:pt idx="1">
                  <c:v>3.1</c:v>
                </c:pt>
                <c:pt idx="2">
                  <c:v>3.4</c:v>
                </c:pt>
                <c:pt idx="3">
                  <c:v>3.8</c:v>
                </c:pt>
                <c:pt idx="4">
                  <c:v>3.9</c:v>
                </c:pt>
                <c:pt idx="5">
                  <c:v>4.2</c:v>
                </c:pt>
                <c:pt idx="6">
                  <c:v>4.4000000000000004</c:v>
                </c:pt>
                <c:pt idx="7">
                  <c:v>4.9000000000000004</c:v>
                </c:pt>
                <c:pt idx="8">
                  <c:v>5.5</c:v>
                </c:pt>
                <c:pt idx="9">
                  <c:v>5.6</c:v>
                </c:pt>
                <c:pt idx="10">
                  <c:v>6</c:v>
                </c:pt>
                <c:pt idx="11">
                  <c:v>6.2</c:v>
                </c:pt>
              </c:numCache>
            </c:numRef>
          </c:val>
          <c:extLst>
            <c:ext xmlns:c16="http://schemas.microsoft.com/office/drawing/2014/chart" uri="{C3380CC4-5D6E-409C-BE32-E72D297353CC}">
              <c16:uniqueId val="{00000005-86ED-4C76-9F6C-7413FE15A786}"/>
            </c:ext>
          </c:extLst>
        </c:ser>
        <c:dLbls>
          <c:showLegendKey val="0"/>
          <c:showVal val="0"/>
          <c:showCatName val="0"/>
          <c:showSerName val="0"/>
          <c:showPercent val="0"/>
          <c:showBubbleSize val="0"/>
        </c:dLbls>
        <c:gapWidth val="150"/>
        <c:overlap val="100"/>
        <c:axId val="394952336"/>
        <c:axId val="394953320"/>
      </c:barChart>
      <c:catAx>
        <c:axId val="394952336"/>
        <c:scaling>
          <c:orientation val="minMax"/>
        </c:scaling>
        <c:delete val="1"/>
        <c:axPos val="b"/>
        <c:title>
          <c:tx>
            <c:rich>
              <a:bodyPr rot="0" spcFirstLastPara="1" vertOverflow="ellipsis" vert="horz" wrap="square" anchor="ctr" anchorCtr="0"/>
              <a:lstStyle/>
              <a:p>
                <a:pPr>
                  <a:defRPr sz="1000" b="0" i="0" u="none" strike="noStrike" kern="1200" baseline="0">
                    <a:solidFill>
                      <a:schemeClr val="tx1">
                        <a:lumMod val="65000"/>
                        <a:lumOff val="35000"/>
                      </a:schemeClr>
                    </a:solidFill>
                    <a:latin typeface="+mn-lt"/>
                    <a:ea typeface="+mn-ea"/>
                    <a:cs typeface="+mn-cs"/>
                  </a:defRPr>
                </a:pPr>
                <a:r>
                  <a:rPr lang="en-US" sz="900"/>
                  <a:t>2004</a:t>
                </a:r>
                <a:r>
                  <a:rPr lang="en-US" sz="900" baseline="0"/>
                  <a:t>   2005   2006   2007   2008   2009   2010  2011  2012   2013   2014   2015</a:t>
                </a:r>
                <a:endParaRPr lang="en-US" sz="900"/>
              </a:p>
            </c:rich>
          </c:tx>
          <c:layout>
            <c:manualLayout>
              <c:xMode val="edge"/>
              <c:yMode val="edge"/>
              <c:x val="0.14922222222222223"/>
              <c:y val="0.80518445610965295"/>
            </c:manualLayout>
          </c:layout>
          <c:overlay val="0"/>
          <c:spPr>
            <a:noFill/>
            <a:ln>
              <a:noFill/>
            </a:ln>
            <a:effectLst/>
          </c:spPr>
          <c:txPr>
            <a:bodyPr rot="0" spcFirstLastPara="1" vertOverflow="ellipsis" vert="horz" wrap="square" anchor="ctr" anchorCtr="0"/>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394953320"/>
        <c:crosses val="autoZero"/>
        <c:auto val="1"/>
        <c:lblAlgn val="ctr"/>
        <c:lblOffset val="100"/>
        <c:noMultiLvlLbl val="0"/>
      </c:catAx>
      <c:valAx>
        <c:axId val="394953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52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2020-12-04T00:51:00Z</dcterms:created>
  <dcterms:modified xsi:type="dcterms:W3CDTF">2020-12-04T02:48:00Z</dcterms:modified>
</cp:coreProperties>
</file>